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8FFABB0"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w:t>
      </w:r>
      <w:proofErr w:type="spellStart"/>
      <w:r w:rsidR="003D7E73" w:rsidRPr="00A172B1">
        <w:rPr>
          <w:rFonts w:cs="Arial"/>
          <w:b/>
          <w:bCs/>
          <w:szCs w:val="20"/>
        </w:rPr>
        <w:t>Chammeleon</w:t>
      </w:r>
      <w:proofErr w:type="spellEnd"/>
      <w:r w:rsidRPr="001862B2">
        <w:rPr>
          <w:rFonts w:cs="Arial"/>
          <w:b/>
          <w:szCs w:val="20"/>
        </w:rPr>
        <w:t>“</w:t>
      </w:r>
      <w:bookmarkEnd w:id="0"/>
      <w:r w:rsidRPr="009B4D70">
        <w:rPr>
          <w:rFonts w:cs="Arial"/>
          <w:b/>
          <w:bCs/>
          <w:iCs/>
          <w:szCs w:val="20"/>
        </w:rPr>
        <w:t xml:space="preserve"> </w:t>
      </w:r>
      <w:r w:rsidR="00C43B57" w:rsidRPr="00C43B57">
        <w:rPr>
          <w:rFonts w:cs="Arial"/>
          <w:b/>
          <w:bCs/>
          <w:highlight w:val="lightGray"/>
        </w:rPr>
        <w:t xml:space="preserve">Část B: </w:t>
      </w:r>
      <w:r w:rsidR="00C43B57" w:rsidRPr="00C43B57">
        <w:rPr>
          <w:rFonts w:cs="Arial"/>
          <w:b/>
          <w:bCs/>
          <w:szCs w:val="20"/>
          <w:highlight w:val="lightGray"/>
        </w:rPr>
        <w:t>Elektroměry třífázové s komunikací point-to-point s technologií LTE kategorie 1</w:t>
      </w:r>
      <w:r w:rsidR="007758DB"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w:t>
      </w:r>
      <w:r w:rsidR="001F504F">
        <w:rPr>
          <w:rFonts w:cs="Arial"/>
          <w:bCs/>
          <w:iCs/>
          <w:szCs w:val="20"/>
        </w:rPr>
        <w:lastRenderedPageBreak/>
        <w:t>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w:t>
      </w:r>
      <w:r w:rsidR="00EF5CC0" w:rsidRPr="001A7769">
        <w:lastRenderedPageBreak/>
        <w:t xml:space="preserve">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C526CB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w:t>
      </w:r>
      <w:r w:rsidRPr="008439F8">
        <w:rPr>
          <w:rFonts w:cs="Arial"/>
          <w:szCs w:val="20"/>
        </w:rPr>
        <w:lastRenderedPageBreak/>
        <w:t>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751B7DD8" w14:textId="77777777" w:rsidR="008B1D40" w:rsidRPr="000922F2" w:rsidRDefault="008B1D40" w:rsidP="008B1D40">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 xml:space="preserve"> 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7740D04" w:rsidR="00327D7B" w:rsidRPr="00204C30"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lastRenderedPageBreak/>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 xml:space="preserve">1% celkového množství výrobní série nebo jednotlivé </w:t>
      </w:r>
      <w:r w:rsidR="00FE435E" w:rsidRPr="00427050">
        <w:rPr>
          <w:rFonts w:ascii="Arial" w:hAnsi="Arial" w:cs="Arial"/>
          <w:color w:val="auto"/>
          <w:sz w:val="20"/>
        </w:rPr>
        <w:lastRenderedPageBreak/>
        <w:t>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lastRenderedPageBreak/>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6F2214">
      <w:pPr>
        <w:numPr>
          <w:ilvl w:val="0"/>
          <w:numId w:val="11"/>
        </w:numPr>
        <w:tabs>
          <w:tab w:val="clear" w:pos="340"/>
          <w:tab w:val="num" w:pos="426"/>
        </w:tabs>
        <w:spacing w:after="120" w:line="280" w:lineRule="atLeast"/>
        <w:ind w:left="426" w:hanging="426"/>
        <w:jc w:val="right"/>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3C5F46C1" w:rsidR="003316D0" w:rsidRPr="00F65C45"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lastRenderedPageBreak/>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lastRenderedPageBreak/>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w:t>
      </w:r>
      <w:r w:rsidRPr="00BB6981">
        <w:rPr>
          <w:rFonts w:cs="Arial"/>
          <w:szCs w:val="20"/>
        </w:rPr>
        <w:lastRenderedPageBreak/>
        <w:t>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0D6109DD" w14:textId="57FFCCBC" w:rsidR="00B106E0" w:rsidRPr="006C1E8B"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w:t>
      </w:r>
      <w:proofErr w:type="spellStart"/>
      <w:r w:rsidR="00365130" w:rsidRPr="006C1E8B">
        <w:rPr>
          <w:rFonts w:cs="Arial"/>
          <w:szCs w:val="20"/>
        </w:rPr>
        <w:t>Chammeleon</w:t>
      </w:r>
      <w:proofErr w:type="spellEnd"/>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lastRenderedPageBreak/>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24AFA7EA" w:rsidR="009276C1" w:rsidRPr="002A12F3" w:rsidRDefault="00D06E97" w:rsidP="008A3C64">
      <w:pPr>
        <w:numPr>
          <w:ilvl w:val="1"/>
          <w:numId w:val="8"/>
        </w:numPr>
        <w:spacing w:after="120" w:line="276" w:lineRule="auto"/>
        <w:ind w:left="1434" w:hanging="357"/>
        <w:jc w:val="both"/>
      </w:pPr>
      <w:r w:rsidRPr="002A12F3">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p>
    <w:p w14:paraId="1CF00A5A" w14:textId="03526332" w:rsidR="008D5721" w:rsidRPr="008D5721" w:rsidRDefault="008D5721" w:rsidP="00E42861">
      <w:pPr>
        <w:numPr>
          <w:ilvl w:val="1"/>
          <w:numId w:val="8"/>
        </w:numPr>
        <w:spacing w:after="120" w:line="276" w:lineRule="auto"/>
        <w:ind w:left="1434" w:hanging="357"/>
        <w:jc w:val="both"/>
        <w:rPr>
          <w:rFonts w:cs="Arial"/>
          <w:szCs w:val="20"/>
        </w:rPr>
      </w:pPr>
      <w:r w:rsidRPr="008D5721">
        <w:t>prodávajícím předložené doklady nebo tvrzení skutečností, o tom že splňuje podmínky Nařízení Rady EU č. 2022/576, se projeví jako nepravdivé</w:t>
      </w:r>
    </w:p>
    <w:p w14:paraId="22168C57" w14:textId="5AA23C4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w:t>
      </w:r>
      <w:r w:rsidR="00DE63AB">
        <w:rPr>
          <w:rFonts w:cs="Arial"/>
          <w:szCs w:val="20"/>
        </w:rPr>
        <w:lastRenderedPageBreak/>
        <w:t xml:space="preserve">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6"/>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w:t>
      </w:r>
      <w:r w:rsidR="00835C38" w:rsidRPr="00500ECE">
        <w:rPr>
          <w:rFonts w:cs="Arial"/>
          <w:szCs w:val="20"/>
        </w:rPr>
        <w:lastRenderedPageBreak/>
        <w:t xml:space="preserve">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w:t>
      </w:r>
      <w:r w:rsidRPr="009D5595">
        <w:rPr>
          <w:rFonts w:cs="Arial"/>
          <w:szCs w:val="20"/>
        </w:rPr>
        <w:lastRenderedPageBreak/>
        <w:t xml:space="preserve">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507546CD" w14:textId="39D2E47D" w:rsidR="00717665" w:rsidRPr="00053AF7" w:rsidRDefault="001B51EE" w:rsidP="00780B01">
      <w:pPr>
        <w:spacing w:line="280" w:lineRule="atLeast"/>
        <w:rPr>
          <w:rFonts w:cs="Arial"/>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r w:rsidR="00053AF7" w:rsidRPr="00840034">
        <w:rPr>
          <w:rFonts w:cs="Arial"/>
          <w:b/>
          <w:szCs w:val="20"/>
        </w:rPr>
        <w:t>Ing. Zdeněk Bauer</w:t>
      </w:r>
      <w:r w:rsidR="00053AF7" w:rsidRPr="00840034">
        <w:rPr>
          <w:rStyle w:val="platne1"/>
          <w:rFonts w:cs="Arial"/>
          <w:b/>
          <w:szCs w:val="20"/>
        </w:rPr>
        <w:t xml:space="preserve"> </w:t>
      </w:r>
      <w:r w:rsidR="00053AF7">
        <w:rPr>
          <w:rStyle w:val="platne1"/>
          <w:rFonts w:cs="Arial"/>
          <w:b/>
          <w:szCs w:val="20"/>
        </w:rPr>
        <w:t xml:space="preserve">    </w:t>
      </w:r>
      <w:r w:rsidR="00780B01" w:rsidRPr="00053AF7">
        <w:rPr>
          <w:rFonts w:cs="Arial"/>
          <w:szCs w:val="20"/>
        </w:rPr>
        <w:tab/>
      </w:r>
      <w:r w:rsidR="00780B01" w:rsidRPr="00053AF7">
        <w:rPr>
          <w:rFonts w:cs="Arial"/>
          <w:szCs w:val="20"/>
        </w:rPr>
        <w:tab/>
      </w:r>
    </w:p>
    <w:p w14:paraId="1C6F8DF1" w14:textId="255E726A" w:rsidR="00780B01" w:rsidRPr="00053AF7" w:rsidRDefault="001B51EE" w:rsidP="00780B01">
      <w:pPr>
        <w:spacing w:line="280" w:lineRule="atLeast"/>
        <w:rPr>
          <w:rFonts w:cs="Arial"/>
          <w:szCs w:val="20"/>
        </w:rPr>
      </w:pPr>
      <w:r>
        <w:rPr>
          <w:rFonts w:cs="Arial"/>
          <w:szCs w:val="20"/>
        </w:rPr>
        <w:tab/>
      </w:r>
      <w:r>
        <w:rPr>
          <w:rFonts w:cs="Arial"/>
          <w:szCs w:val="20"/>
        </w:rPr>
        <w:tab/>
      </w:r>
      <w:r w:rsidR="00780B01" w:rsidRPr="00053AF7">
        <w:rPr>
          <w:rFonts w:cs="Arial"/>
          <w:szCs w:val="20"/>
        </w:rPr>
        <w:tab/>
      </w:r>
      <w:r w:rsidR="00053AF7">
        <w:rPr>
          <w:rFonts w:cs="Arial"/>
          <w:szCs w:val="20"/>
        </w:rPr>
        <w:tab/>
      </w:r>
      <w:r w:rsidR="00053AF7">
        <w:rPr>
          <w:rFonts w:cs="Arial"/>
          <w:szCs w:val="20"/>
        </w:rPr>
        <w:tab/>
      </w:r>
      <w:r w:rsidR="00053AF7">
        <w:rPr>
          <w:rFonts w:cs="Arial"/>
          <w:szCs w:val="20"/>
        </w:rPr>
        <w:tab/>
        <w:t>předseda</w:t>
      </w:r>
      <w:r w:rsidR="00053AF7" w:rsidRPr="00525679">
        <w:rPr>
          <w:rFonts w:cs="Arial"/>
          <w:szCs w:val="20"/>
        </w:rPr>
        <w:t xml:space="preserve">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77777777"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 Pavel Čada, Ph.D.</w:t>
      </w:r>
    </w:p>
    <w:p w14:paraId="5FFB9A57" w14:textId="792C0EB1" w:rsidR="00327D7B" w:rsidRPr="00DA2C52" w:rsidRDefault="00053AF7" w:rsidP="00486E92">
      <w:pPr>
        <w:spacing w:line="280" w:lineRule="atLeast"/>
        <w:ind w:left="3545" w:firstLine="709"/>
        <w:rPr>
          <w:rFonts w:cs="Arial"/>
          <w:szCs w:val="20"/>
        </w:rPr>
      </w:pPr>
      <w:r w:rsidRPr="0026578E">
        <w:rPr>
          <w:rFonts w:cs="Arial"/>
          <w:szCs w:val="20"/>
        </w:rPr>
        <w:t>místopředseda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2756" w14:textId="77777777" w:rsidR="00DC4CEC" w:rsidRDefault="00DC4CEC" w:rsidP="00E25C9A">
      <w:r>
        <w:separator/>
      </w:r>
    </w:p>
  </w:endnote>
  <w:endnote w:type="continuationSeparator" w:id="0">
    <w:p w14:paraId="0313E732" w14:textId="77777777" w:rsidR="00DC4CEC" w:rsidRDefault="00DC4CEC" w:rsidP="00E25C9A">
      <w:r>
        <w:continuationSeparator/>
      </w:r>
    </w:p>
  </w:endnote>
  <w:endnote w:type="continuationNotice" w:id="1">
    <w:p w14:paraId="63490FA4" w14:textId="77777777" w:rsidR="00DC4CEC" w:rsidRDefault="00DC4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CD75" w14:textId="77777777" w:rsidR="00DC4CEC" w:rsidRDefault="00DC4CEC" w:rsidP="00E25C9A">
      <w:r>
        <w:separator/>
      </w:r>
    </w:p>
  </w:footnote>
  <w:footnote w:type="continuationSeparator" w:id="0">
    <w:p w14:paraId="5C5BB6FA" w14:textId="77777777" w:rsidR="00DC4CEC" w:rsidRDefault="00DC4CEC" w:rsidP="00E25C9A">
      <w:r>
        <w:continuationSeparator/>
      </w:r>
    </w:p>
  </w:footnote>
  <w:footnote w:type="continuationNotice" w:id="1">
    <w:p w14:paraId="7922CA40" w14:textId="77777777" w:rsidR="00DC4CEC" w:rsidRDefault="00DC4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61DD05FD" w:rsidR="00E74BF9" w:rsidRDefault="00E74BF9" w:rsidP="003B5252">
    <w:pPr>
      <w:pStyle w:val="Zhlav"/>
      <w:jc w:val="right"/>
      <w:rPr>
        <w:b/>
        <w:sz w:val="18"/>
        <w:szCs w:val="20"/>
      </w:rPr>
    </w:pPr>
    <w:r>
      <w:rPr>
        <w:b/>
        <w:sz w:val="18"/>
        <w:szCs w:val="20"/>
      </w:rPr>
      <w:t xml:space="preserve">Číslo smlouvy kupujícího: </w:t>
    </w:r>
  </w:p>
  <w:p w14:paraId="5FFB9C68" w14:textId="773BAC20" w:rsidR="00E74BF9" w:rsidRPr="002A4F5A" w:rsidRDefault="00E74BF9" w:rsidP="00060B31">
    <w:pPr>
      <w:pStyle w:val="Zhlav"/>
      <w:jc w:val="right"/>
      <w:rPr>
        <w:b/>
        <w:sz w:val="18"/>
        <w:szCs w:val="20"/>
      </w:rPr>
    </w:pPr>
    <w:r>
      <w:rPr>
        <w:b/>
        <w:sz w:val="18"/>
        <w:szCs w:val="20"/>
      </w:rPr>
      <w:t xml:space="preserve">Číslo smlouvy prodávajícího: </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3"/>
  </w:num>
  <w:num w:numId="3">
    <w:abstractNumId w:val="9"/>
  </w:num>
  <w:num w:numId="4">
    <w:abstractNumId w:val="28"/>
  </w:num>
  <w:num w:numId="5">
    <w:abstractNumId w:val="3"/>
  </w:num>
  <w:num w:numId="6">
    <w:abstractNumId w:val="22"/>
  </w:num>
  <w:num w:numId="7">
    <w:abstractNumId w:val="31"/>
  </w:num>
  <w:num w:numId="8">
    <w:abstractNumId w:val="20"/>
  </w:num>
  <w:num w:numId="9">
    <w:abstractNumId w:val="10"/>
  </w:num>
  <w:num w:numId="10">
    <w:abstractNumId w:val="6"/>
  </w:num>
  <w:num w:numId="11">
    <w:abstractNumId w:val="26"/>
  </w:num>
  <w:num w:numId="12">
    <w:abstractNumId w:val="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5"/>
  </w:num>
  <w:num w:numId="19">
    <w:abstractNumId w:val="19"/>
  </w:num>
  <w:num w:numId="20">
    <w:abstractNumId w:val="21"/>
  </w:num>
  <w:num w:numId="21">
    <w:abstractNumId w:val="18"/>
  </w:num>
  <w:num w:numId="22">
    <w:abstractNumId w:val="32"/>
  </w:num>
  <w:num w:numId="23">
    <w:abstractNumId w:val="30"/>
  </w:num>
  <w:num w:numId="24">
    <w:abstractNumId w:val="14"/>
  </w:num>
  <w:num w:numId="25">
    <w:abstractNumId w:val="2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3"/>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9"/>
  </w:num>
  <w:num w:numId="35">
    <w:abstractNumId w:val="16"/>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66BE"/>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614"/>
    <w:rsid w:val="00337662"/>
    <w:rsid w:val="00340165"/>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F9F"/>
    <w:rsid w:val="004D7521"/>
    <w:rsid w:val="004D7CF0"/>
    <w:rsid w:val="004E00BC"/>
    <w:rsid w:val="004E1083"/>
    <w:rsid w:val="004E220F"/>
    <w:rsid w:val="004E3B99"/>
    <w:rsid w:val="004E5189"/>
    <w:rsid w:val="004E746E"/>
    <w:rsid w:val="004E7B58"/>
    <w:rsid w:val="004F0E13"/>
    <w:rsid w:val="004F1D95"/>
    <w:rsid w:val="004F51C6"/>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87786"/>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E02CE"/>
    <w:rsid w:val="007E0393"/>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5CFB"/>
    <w:rsid w:val="00816321"/>
    <w:rsid w:val="00816631"/>
    <w:rsid w:val="00816C22"/>
    <w:rsid w:val="0081794F"/>
    <w:rsid w:val="00817B47"/>
    <w:rsid w:val="00822EEE"/>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0F8B"/>
    <w:rsid w:val="008B1D40"/>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721"/>
    <w:rsid w:val="008D5F8C"/>
    <w:rsid w:val="008D63B9"/>
    <w:rsid w:val="008D6604"/>
    <w:rsid w:val="008D76AB"/>
    <w:rsid w:val="008E2AD7"/>
    <w:rsid w:val="008E2CC4"/>
    <w:rsid w:val="008E38D9"/>
    <w:rsid w:val="008E4B3F"/>
    <w:rsid w:val="008E4FAD"/>
    <w:rsid w:val="008E55A2"/>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B57"/>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46A4"/>
    <w:rsid w:val="00DB5538"/>
    <w:rsid w:val="00DB653C"/>
    <w:rsid w:val="00DB74DC"/>
    <w:rsid w:val="00DB7C90"/>
    <w:rsid w:val="00DC1F36"/>
    <w:rsid w:val="00DC3978"/>
    <w:rsid w:val="00DC4CEC"/>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5B3"/>
    <w:rsid w:val="00E4772E"/>
    <w:rsid w:val="00E50E68"/>
    <w:rsid w:val="00E5140A"/>
    <w:rsid w:val="00E514F4"/>
    <w:rsid w:val="00E534DB"/>
    <w:rsid w:val="00E5414E"/>
    <w:rsid w:val="00E554FB"/>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60F4C-667E-412B-B4D5-AB84C4E69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8756</Words>
  <Characters>51667</Characters>
  <Application>Microsoft Office Word</Application>
  <DocSecurity>0</DocSecurity>
  <Lines>430</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60303</CharactersWithSpaces>
  <SharedDoc>false</SharedDoc>
  <HLinks>
    <vt:vector size="30" baseType="variant">
      <vt:variant>
        <vt:i4>3735599</vt:i4>
      </vt:variant>
      <vt:variant>
        <vt:i4>12</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9</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2424903</vt:i4>
      </vt:variant>
      <vt:variant>
        <vt:i4>0</vt:i4>
      </vt:variant>
      <vt:variant>
        <vt:i4>0</vt:i4>
      </vt:variant>
      <vt:variant>
        <vt:i4>5</vt:i4>
      </vt:variant>
      <vt:variant>
        <vt:lpwstr>mailto:hana.zerdikova@egd.cz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2017-06-28T06:08:00Z</cp:lastPrinted>
  <dcterms:created xsi:type="dcterms:W3CDTF">2022-04-07T13:06:00Z</dcterms:created>
  <dcterms:modified xsi:type="dcterms:W3CDTF">2022-05-19T08:36:00Z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